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Massage for Therapists</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Margaret Holis</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7.5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$7.5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Massage Therapists, Physical Therapists, Chiropractors, Occupational Therapists and Bodywork Practitioners.</w:t>
      </w:r>
    </w:p>
    <w:p w14:paraId="151FCF3B" w14:textId="5FAE755A" w:rsidR="00B9479F" w:rsidRPr="00B1558C" w:rsidRDefault="00B9479F" w:rsidP="00B1558C">
      <w:pPr>
        <w:pStyle w:val="highlight"/>
      </w:pPr>
      <w:r>
        <w:t>Instructional Level: intermediate</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Demonstrate knowledge of massage techniques and theory.</w:t>
        <w:br/>
        <w:t>2. Apply appropriate massage methods for various client conditions.</w:t>
        <w:br/>
        <w:t>3. Understand contraindications and precautions in massage therapy.</w:t>
        <w:br/>
        <w:t>4. Evaluate client needs and tailor massage treatments accordingly.</w:t>
        <w:br/>
        <w:t>5. Maintain client safety and comfort during massage sessions.</w:t>
        <w:br/>
        <w:t>6. Integrate massage therapy into a holistic treatment plan.</w:t>
        <w:br/>
        <w:t>7. Identify benefits and limitations of different massage approaches.</w:t>
      </w:r>
    </w:p>
    <w:p w14:paraId="005DC33C" w14:textId="332D9A11" w:rsidR="00B9479F" w:rsidRPr="00DD4E7A" w:rsidRDefault="00697360" w:rsidP="00DD4E7A">
      <w:pPr>
        <w:pStyle w:val="highlight"/>
        <w:rPr>
          <w:highlight w:val="yellow"/>
        </w:rPr>
      </w:pPr>
      <w:r>
        <w:t>Course Description: This course provides an in-depth exploration of massage techniques for therapists, covering the theoretical foundations, practical applications, and safety considerations. It aims to enhance the therapist's ability to deliver effective massage treatment tailored to client needs and promote overall wellness.</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