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Compensation-Related Stress, Mental Health Sequelae, and Long-Term Disability Following Injury and Civil Litigation: A Comprehensive Reading Manual for Continuing Education</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4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$4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Clinical Psychologists, Counseling Psychologists, Graduate-Level Clinicians and Advanced Graduate Trainees in Applied Psychology.</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6 specific mechanisms through which compensation processes generate stress and impact mental health outcomes.</w:t>
        <w:br/>
        <w:t>2. Identify 4 key features of compensation systems that contribute to psychological burden and procedural injustice.</w:t>
        <w:br/>
        <w:t>3. Explain the relationships between acute post-injury psychiatric symptoms (PTSD and depression) and compensation-related stress in predicting long-term disability.</w:t>
        <w:br/>
        <w:t>4. Evaluate 3 clinical approaches for early screening and stepped-care intervention to address compensation-related psychological distress.</w:t>
        <w:br/>
        <w:t>5. Discuss 3 transference and countertransference phenomena relevant to therapeutic work with litigant-patients.</w:t>
      </w:r>
    </w:p>
    <w:p>
      <w:pPr>
        <w:pStyle w:val="Highlight"/>
        <w:rPr>
          <w:highlight w:val="yellow"/>
        </w:rPr>
      </w:pPr>
      <w:r>
        <w:t>Course Description: This continuing education manual synthesizes empirical and theoretical literature on the psychological effects of engaging with compensation and civil litigation systems following personal injury. It provides an integrated framework exploring how compensation-related stress acts as a chronic psychosocial stressor that independently contributes to mental health symptoms and long-term disability. Drawing on large longitudinal cohort studies, meta-analyses, and clinical insights, the manual addresses mechanisms of stress, mental health outcomes including PTSD and depression, clinical implications, transference issues, and system-level advocacy. The material equips advanced psychologists with knowledge to identify, formulate, and treat compensation-related psychological sequelae, as well as to contribute to research and policy to improve claimant well-being.</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