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Psychological Distress, Mental Health, and Self-Harm in Workers' Compensation Claimants: A Continuing Education Manual for Licensed Psychologists and Graduate-Level Clinicians</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3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$3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Clinical Practitioners, Graduate-Level Mental Health Trainees, Forensic Evaluators and Rehabilitation Psychologists.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the prevalence and predictors of psychological distress among workers' compensation claimants, including specific rates of moderate and severe distress.</w:t>
        <w:br/>
        <w:t>2. Identify and evaluate psychological and system-level mechanisms through which workers' compensation engagement impacts mental health, including procedural injustice and financial stress.</w:t>
        <w:br/>
        <w:t>3. Assess the mental health and self-harm risks associated with compensation claims, including suicide risk, and implement screening and safety planning.</w:t>
        <w:br/>
        <w:t>4. Develop and apply comprehensive, integrated psychological assessment and treatment plans tailored for workers' compensation claimant populations, incorporating trauma-informed and systems-informed perspectives.</w:t>
      </w:r>
    </w:p>
    <w:p>
      <w:pPr>
        <w:pStyle w:val="Highlight"/>
        <w:rPr>
          <w:highlight w:val="yellow"/>
        </w:rPr>
      </w:pPr>
      <w:r>
        <w:t>Course Description: This continuing education manual provides licensed psychologists and advanced clinicians with an integrated and evidence-based understanding of the psychological experiences of workers' compensation claimants. It synthesizes recent empirical research on prevalence, predictors, and mental health outcomes, including psychological distress and self-harm risk. The manual addresses conceptual models, clinical assessment, treatment strategies, ethical complexities, and system-level advocacy, aiming to enhance clinicians' capabilities in supporting recovery within the compensation context.</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