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Neurocognitive Assessment of Antisocial Personality Disorder and Psychopathy: Methodological Challenges, Clinical Implications, and Future Directions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3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$3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Clinical Psychologists, Forensic Psychologists and Neuropsychologists.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4 key methodological challenges that constrain neurocognitive assessment in ASPD and psychopathy.</w:t>
        <w:br/>
        <w:t>2. Identify differences in neurocognitive dysfunctions between antisocial personality disorder with psychopathy (ASPD+P) and without psychopathy (ASPD-P).</w:t>
        <w:br/>
        <w:t>3. Explain the implications of neurocognitive findings for assessment, formulation, and treatment planning in clinical and forensic settings.</w:t>
        <w:br/>
        <w:t>4. Discuss future directions and collaborative strategies for advancing neurocognitive science in ASPD and psychopathy.</w:t>
      </w:r>
    </w:p>
    <w:p>
      <w:pPr>
        <w:pStyle w:val="Highlight"/>
        <w:rPr>
          <w:highlight w:val="yellow"/>
        </w:rPr>
      </w:pPr>
      <w:r>
        <w:t>Course Description: This continuing education manual explores neurocognitive assessment in antisocial personality disorder and psychopathy, focusing on methodological challenges, clinical implications, and strategies for improving research and practice. It synthesizes contemporary theoretical and empirical literature, highlighting affective, motivational, and attentional dysfunctions characteristic of these disorders. The course underscores the importance of understanding heterogeneity in ASPD presentations, reliable task design, engagement issues, and the need for longitudinal research. It aims to enhance psychologists' ability to interpret research findings, conduct valid assessments, and apply personalized interventions in clinical, forensic, and neuropsychological practice.</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