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An Introduction to Sociology</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Unknown (The document appears to be an academic chapter, author not explicitly stated)</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1.5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$1.5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Sociologists, Social Science Students, Researchers, Educators and Policy Makers.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Explain concepts central to sociology including micro- and macro-sociology.</w:t>
        <w:br/>
        <w:t>2. Describe the historical development of sociology and its foundational theorists.</w:t>
        <w:br/>
        <w:t>3. Understand and compare key sociological perspectives such as positivism, critical sociology, and interpretive approaches.</w:t>
        <w:br/>
        <w:t>4. Identify applications of sociology in real-world contexts.</w:t>
        <w:br/>
        <w:t>5. Develop the ability to apply the sociological imagination to social problems.</w:t>
      </w:r>
    </w:p>
    <w:p w14:paraId="005DC33C" w14:textId="332D9A11" w:rsidR="00B9479F" w:rsidRPr="00DD4E7A" w:rsidRDefault="00697360" w:rsidP="00DD4E7A">
      <w:pPr>
        <w:pStyle w:val="highlight"/>
        <w:rPr>
          <w:highlight w:val="yellow"/>
        </w:rPr>
      </w:pPr>
      <w:r>
        <w:t>Course Description: This course provides a foundational overview of sociology, introducing learners to the study of society and social interactions at various levels. It covers the historical emergence of sociology, key theoretical perspectives including positivism and critical sociology, and the application of sociological methods to analyze social patterns, institutions, and social issues such as inequality and deviance. The course emphasizes the sociological imagination to understand individual experiences within broader social contexts.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